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1079" w14:textId="2374E5AC" w:rsidR="00E04ED3" w:rsidRPr="0075107D" w:rsidRDefault="0075107D" w:rsidP="0075107D">
      <w:pPr>
        <w:rPr>
          <w:b/>
          <w:bCs/>
          <w:sz w:val="28"/>
          <w:szCs w:val="28"/>
        </w:rPr>
      </w:pPr>
      <w:r>
        <w:rPr>
          <w:b/>
          <w:bCs/>
          <w:sz w:val="28"/>
          <w:szCs w:val="28"/>
        </w:rPr>
        <w:br/>
      </w:r>
      <w:r w:rsidR="00564388" w:rsidRPr="0075107D">
        <w:rPr>
          <w:b/>
          <w:bCs/>
          <w:sz w:val="28"/>
          <w:szCs w:val="28"/>
        </w:rPr>
        <w:t xml:space="preserve">NSBS Legal Services Support - </w:t>
      </w:r>
      <w:r w:rsidR="00C120E1" w:rsidRPr="0075107D">
        <w:rPr>
          <w:b/>
          <w:bCs/>
          <w:sz w:val="28"/>
          <w:szCs w:val="28"/>
        </w:rPr>
        <w:t>Foundation Document File Checklist</w:t>
      </w:r>
    </w:p>
    <w:p w14:paraId="6B73D3A7" w14:textId="371B69D4" w:rsidR="00C120E1" w:rsidRPr="0075107D" w:rsidRDefault="00564388">
      <w:pPr>
        <w:rPr>
          <w:sz w:val="22"/>
          <w:szCs w:val="22"/>
        </w:rPr>
      </w:pPr>
      <w:r w:rsidRPr="0075107D">
        <w:rPr>
          <w:sz w:val="22"/>
          <w:szCs w:val="22"/>
        </w:rPr>
        <w:t>U</w:t>
      </w:r>
      <w:r w:rsidR="00C120E1" w:rsidRPr="0075107D">
        <w:rPr>
          <w:sz w:val="22"/>
          <w:szCs w:val="22"/>
        </w:rPr>
        <w:t xml:space="preserve">se </w:t>
      </w:r>
      <w:r w:rsidRPr="0075107D">
        <w:rPr>
          <w:sz w:val="22"/>
          <w:szCs w:val="22"/>
        </w:rPr>
        <w:t xml:space="preserve">this </w:t>
      </w:r>
      <w:r w:rsidR="00C120E1" w:rsidRPr="0075107D">
        <w:rPr>
          <w:sz w:val="22"/>
          <w:szCs w:val="22"/>
        </w:rPr>
        <w:t>with a file</w:t>
      </w:r>
      <w:r w:rsidR="00B71753" w:rsidRPr="0075107D">
        <w:rPr>
          <w:sz w:val="22"/>
          <w:szCs w:val="22"/>
        </w:rPr>
        <w:t xml:space="preserve"> </w:t>
      </w:r>
      <w:r w:rsidR="00C120E1" w:rsidRPr="0075107D">
        <w:rPr>
          <w:sz w:val="22"/>
          <w:szCs w:val="22"/>
        </w:rPr>
        <w:t>to help you set aside everything that must be kept as a foundation document. You will need another lawyer to sign for them when you retire or otherwise change status. We recommend that you keep</w:t>
      </w:r>
      <w:r w:rsidRPr="0075107D">
        <w:rPr>
          <w:sz w:val="22"/>
          <w:szCs w:val="22"/>
        </w:rPr>
        <w:t xml:space="preserve"> foundation</w:t>
      </w:r>
      <w:r w:rsidR="00C120E1" w:rsidRPr="0075107D">
        <w:rPr>
          <w:sz w:val="22"/>
          <w:szCs w:val="22"/>
        </w:rPr>
        <w:t xml:space="preserve"> </w:t>
      </w:r>
      <w:r w:rsidRPr="0075107D">
        <w:rPr>
          <w:sz w:val="22"/>
          <w:szCs w:val="22"/>
        </w:rPr>
        <w:t xml:space="preserve">documents </w:t>
      </w:r>
      <w:r w:rsidR="00C120E1" w:rsidRPr="0075107D">
        <w:rPr>
          <w:sz w:val="22"/>
          <w:szCs w:val="22"/>
        </w:rPr>
        <w:t>electronicall</w:t>
      </w:r>
      <w:r w:rsidR="0075107D">
        <w:rPr>
          <w:sz w:val="22"/>
          <w:szCs w:val="22"/>
        </w:rPr>
        <w:t>y. A</w:t>
      </w:r>
      <w:r w:rsidR="00B71753" w:rsidRPr="0075107D">
        <w:rPr>
          <w:sz w:val="22"/>
          <w:szCs w:val="22"/>
        </w:rPr>
        <w:t>lmost all come</w:t>
      </w:r>
      <w:r w:rsidRPr="0075107D">
        <w:rPr>
          <w:sz w:val="22"/>
          <w:szCs w:val="22"/>
        </w:rPr>
        <w:t xml:space="preserve"> to you</w:t>
      </w:r>
      <w:r w:rsidR="00B71753" w:rsidRPr="0075107D">
        <w:rPr>
          <w:sz w:val="22"/>
          <w:szCs w:val="22"/>
        </w:rPr>
        <w:t xml:space="preserve"> electronically unless your searcher prints it</w:t>
      </w:r>
      <w:r w:rsidR="0075107D">
        <w:rPr>
          <w:sz w:val="22"/>
          <w:szCs w:val="22"/>
        </w:rPr>
        <w:t xml:space="preserve"> but if </w:t>
      </w:r>
      <w:r w:rsidR="00B71753" w:rsidRPr="0075107D">
        <w:rPr>
          <w:sz w:val="22"/>
          <w:szCs w:val="22"/>
        </w:rPr>
        <w:t xml:space="preserve">your foundation documents are </w:t>
      </w:r>
      <w:r w:rsidR="00C120E1" w:rsidRPr="0075107D">
        <w:rPr>
          <w:sz w:val="22"/>
          <w:szCs w:val="22"/>
        </w:rPr>
        <w:t>paper, bundle them together in a subfile</w:t>
      </w:r>
      <w:r w:rsidRPr="0075107D">
        <w:rPr>
          <w:sz w:val="22"/>
          <w:szCs w:val="22"/>
        </w:rPr>
        <w:t>.</w:t>
      </w:r>
      <w:r w:rsidR="00B71753" w:rsidRPr="0075107D">
        <w:rPr>
          <w:sz w:val="22"/>
          <w:szCs w:val="22"/>
        </w:rPr>
        <w:t xml:space="preserve"> </w:t>
      </w:r>
      <w:r w:rsidRPr="0075107D">
        <w:rPr>
          <w:sz w:val="22"/>
          <w:szCs w:val="22"/>
        </w:rPr>
        <w:t>L</w:t>
      </w:r>
      <w:r w:rsidR="00B71753" w:rsidRPr="0075107D">
        <w:rPr>
          <w:sz w:val="22"/>
          <w:szCs w:val="22"/>
        </w:rPr>
        <w:t>abel</w:t>
      </w:r>
      <w:r w:rsidRPr="0075107D">
        <w:rPr>
          <w:sz w:val="22"/>
          <w:szCs w:val="22"/>
        </w:rPr>
        <w:t xml:space="preserve"> your file (electronic or paper)</w:t>
      </w:r>
      <w:r w:rsidR="00B71753" w:rsidRPr="0075107D">
        <w:rPr>
          <w:sz w:val="22"/>
          <w:szCs w:val="22"/>
        </w:rPr>
        <w:t xml:space="preserve"> to identify the property </w:t>
      </w:r>
      <w:r w:rsidRPr="0075107D">
        <w:rPr>
          <w:sz w:val="22"/>
          <w:szCs w:val="22"/>
        </w:rPr>
        <w:t>&amp; o</w:t>
      </w:r>
      <w:r w:rsidR="00B71753" w:rsidRPr="0075107D">
        <w:rPr>
          <w:sz w:val="22"/>
          <w:szCs w:val="22"/>
        </w:rPr>
        <w:t>wner.</w:t>
      </w:r>
    </w:p>
    <w:p w14:paraId="6F6636CF" w14:textId="77777777" w:rsidR="0075107D" w:rsidRDefault="00B71753">
      <w:pPr>
        <w:rPr>
          <w:sz w:val="22"/>
          <w:szCs w:val="22"/>
        </w:rPr>
      </w:pPr>
      <w:r w:rsidRPr="0075107D">
        <w:rPr>
          <w:sz w:val="22"/>
          <w:szCs w:val="22"/>
        </w:rPr>
        <w:t>The o</w:t>
      </w:r>
      <w:r w:rsidR="00C120E1" w:rsidRPr="0075107D">
        <w:rPr>
          <w:sz w:val="22"/>
          <w:szCs w:val="22"/>
        </w:rPr>
        <w:t>bligation to retain and produce “foundation documents” started April 24, 2009</w:t>
      </w:r>
      <w:r w:rsidR="00564388" w:rsidRPr="0075107D">
        <w:rPr>
          <w:sz w:val="22"/>
          <w:szCs w:val="22"/>
        </w:rPr>
        <w:t xml:space="preserve">. </w:t>
      </w:r>
      <w:r w:rsidRPr="0075107D">
        <w:rPr>
          <w:sz w:val="22"/>
          <w:szCs w:val="22"/>
        </w:rPr>
        <w:t xml:space="preserve">For any </w:t>
      </w:r>
      <w:r w:rsidR="00D33F90" w:rsidRPr="0075107D">
        <w:rPr>
          <w:sz w:val="22"/>
          <w:szCs w:val="22"/>
        </w:rPr>
        <w:t>AFR submitted before that date</w:t>
      </w:r>
      <w:r w:rsidRPr="0075107D">
        <w:rPr>
          <w:sz w:val="22"/>
          <w:szCs w:val="22"/>
        </w:rPr>
        <w:t>, you may eventually destroy these documents pursuant to your file retention and destruction policy.</w:t>
      </w:r>
      <w:r w:rsidR="00564388" w:rsidRPr="0075107D">
        <w:rPr>
          <w:sz w:val="22"/>
          <w:szCs w:val="22"/>
        </w:rPr>
        <w:t xml:space="preserve"> To be clear, it is only post-April 24, </w:t>
      </w:r>
      <w:proofErr w:type="gramStart"/>
      <w:r w:rsidR="00564388" w:rsidRPr="0075107D">
        <w:rPr>
          <w:sz w:val="22"/>
          <w:szCs w:val="22"/>
        </w:rPr>
        <w:t>2009</w:t>
      </w:r>
      <w:proofErr w:type="gramEnd"/>
      <w:r w:rsidR="00564388" w:rsidRPr="0075107D">
        <w:rPr>
          <w:sz w:val="22"/>
          <w:szCs w:val="22"/>
        </w:rPr>
        <w:t xml:space="preserve"> documents that must be accepted by another lawyer when you change status.</w:t>
      </w:r>
      <w:r w:rsidR="00D33F90" w:rsidRPr="0075107D">
        <w:rPr>
          <w:sz w:val="22"/>
          <w:szCs w:val="22"/>
        </w:rPr>
        <w:t xml:space="preserve"> </w:t>
      </w:r>
    </w:p>
    <w:p w14:paraId="227DA60F" w14:textId="261F9EB1" w:rsidR="00C120E1" w:rsidRPr="0075107D" w:rsidRDefault="00C120E1">
      <w:pPr>
        <w:rPr>
          <w:b/>
          <w:bCs/>
          <w:sz w:val="22"/>
          <w:szCs w:val="22"/>
        </w:rPr>
      </w:pPr>
      <w:r w:rsidRPr="0075107D">
        <w:rPr>
          <w:b/>
          <w:bCs/>
          <w:sz w:val="22"/>
          <w:szCs w:val="22"/>
        </w:rPr>
        <w:t xml:space="preserve">When submitting an AFR, </w:t>
      </w:r>
      <w:r w:rsidR="0075107D">
        <w:rPr>
          <w:b/>
          <w:bCs/>
          <w:sz w:val="22"/>
          <w:szCs w:val="22"/>
        </w:rPr>
        <w:t xml:space="preserve">a </w:t>
      </w:r>
      <w:r w:rsidRPr="0075107D">
        <w:rPr>
          <w:b/>
          <w:bCs/>
          <w:sz w:val="22"/>
          <w:szCs w:val="22"/>
        </w:rPr>
        <w:t xml:space="preserve">lawyer must keep: </w:t>
      </w:r>
    </w:p>
    <w:p w14:paraId="5E3D620A" w14:textId="6885AAD6" w:rsidR="00C120E1" w:rsidRPr="0075107D" w:rsidRDefault="004B5894" w:rsidP="00EE65E8">
      <w:pPr>
        <w:rPr>
          <w:sz w:val="22"/>
          <w:szCs w:val="22"/>
        </w:rPr>
      </w:pPr>
      <w:sdt>
        <w:sdtPr>
          <w:id w:val="-998270087"/>
          <w14:checkbox>
            <w14:checked w14:val="0"/>
            <w14:checkedState w14:val="2612" w14:font="MS Gothic"/>
            <w14:uncheckedState w14:val="2610" w14:font="MS Gothic"/>
          </w14:checkbox>
        </w:sdtPr>
        <w:sdtEndPr/>
        <w:sdtContent>
          <w:r w:rsidR="00EE65E8" w:rsidRPr="0075107D">
            <w:rPr>
              <w:rFonts w:ascii="Segoe UI Symbol" w:eastAsia="MS Gothic" w:hAnsi="Segoe UI Symbol" w:cs="Segoe UI Symbol"/>
            </w:rPr>
            <w:t>☐</w:t>
          </w:r>
        </w:sdtContent>
      </w:sdt>
      <w:r w:rsidR="00EE65E8" w:rsidRPr="0075107D">
        <w:t xml:space="preserve"> </w:t>
      </w:r>
      <w:r w:rsidR="00EE65E8" w:rsidRPr="0075107D">
        <w:rPr>
          <w:sz w:val="22"/>
          <w:szCs w:val="22"/>
        </w:rPr>
        <w:t>w</w:t>
      </w:r>
      <w:r w:rsidR="00C120E1" w:rsidRPr="0075107D">
        <w:rPr>
          <w:sz w:val="22"/>
          <w:szCs w:val="22"/>
        </w:rPr>
        <w:t xml:space="preserve">ritten authorization to submit the PDCA and AFR, if the submitting lawyer does not have a solicitor/client relationship with the owner of the parcel being </w:t>
      </w:r>
      <w:proofErr w:type="gramStart"/>
      <w:r w:rsidR="00C120E1" w:rsidRPr="0075107D">
        <w:rPr>
          <w:sz w:val="22"/>
          <w:szCs w:val="22"/>
        </w:rPr>
        <w:t>registered;</w:t>
      </w:r>
      <w:proofErr w:type="gramEnd"/>
      <w:r w:rsidR="00C120E1" w:rsidRPr="0075107D">
        <w:rPr>
          <w:sz w:val="22"/>
          <w:szCs w:val="22"/>
        </w:rPr>
        <w:t xml:space="preserve"> </w:t>
      </w:r>
    </w:p>
    <w:p w14:paraId="7E33F955" w14:textId="4695CEBD" w:rsidR="00C120E1" w:rsidRPr="0075107D" w:rsidRDefault="004B5894">
      <w:pPr>
        <w:rPr>
          <w:sz w:val="22"/>
          <w:szCs w:val="22"/>
        </w:rPr>
      </w:pPr>
      <w:sdt>
        <w:sdtPr>
          <w:rPr>
            <w:sz w:val="22"/>
            <w:szCs w:val="22"/>
          </w:rPr>
          <w:id w:val="-1947910638"/>
          <w14:checkbox>
            <w14:checked w14:val="0"/>
            <w14:checkedState w14:val="2612" w14:font="MS Gothic"/>
            <w14:uncheckedState w14:val="2610" w14:font="MS Gothic"/>
          </w14:checkbox>
        </w:sdtPr>
        <w:sdtEndPr/>
        <w:sdtContent>
          <w:r w:rsidR="00EE65E8" w:rsidRPr="0075107D">
            <w:rPr>
              <w:rFonts w:ascii="Segoe UI Symbol" w:eastAsia="MS Gothic" w:hAnsi="Segoe UI Symbol" w:cs="Segoe UI Symbol"/>
              <w:sz w:val="22"/>
              <w:szCs w:val="22"/>
            </w:rPr>
            <w:t>☐</w:t>
          </w:r>
        </w:sdtContent>
      </w:sdt>
      <w:r w:rsidR="00C120E1" w:rsidRPr="0075107D">
        <w:rPr>
          <w:sz w:val="22"/>
          <w:szCs w:val="22"/>
        </w:rPr>
        <w:t xml:space="preserve"> an owner’s declaration regarding occupation of the parcel and residency status in Form 5 and, if signed by the authorized lawyer or authorized surveyor, evidence of the information relied upon under subsection (7</w:t>
      </w:r>
      <w:proofErr w:type="gramStart"/>
      <w:r w:rsidR="00C120E1" w:rsidRPr="0075107D">
        <w:rPr>
          <w:sz w:val="22"/>
          <w:szCs w:val="22"/>
        </w:rPr>
        <w:t>);</w:t>
      </w:r>
      <w:proofErr w:type="gramEnd"/>
      <w:r w:rsidR="00C120E1" w:rsidRPr="0075107D">
        <w:rPr>
          <w:sz w:val="22"/>
          <w:szCs w:val="22"/>
        </w:rPr>
        <w:t xml:space="preserve"> </w:t>
      </w:r>
    </w:p>
    <w:p w14:paraId="019CA712" w14:textId="4DCB13E4" w:rsidR="00C120E1" w:rsidRPr="0075107D" w:rsidRDefault="004B5894">
      <w:pPr>
        <w:rPr>
          <w:sz w:val="22"/>
          <w:szCs w:val="22"/>
        </w:rPr>
      </w:pPr>
      <w:sdt>
        <w:sdtPr>
          <w:rPr>
            <w:sz w:val="22"/>
            <w:szCs w:val="22"/>
          </w:rPr>
          <w:id w:val="-890340901"/>
          <w14:checkbox>
            <w14:checked w14:val="0"/>
            <w14:checkedState w14:val="2612" w14:font="MS Gothic"/>
            <w14:uncheckedState w14:val="2610" w14:font="MS Gothic"/>
          </w14:checkbox>
        </w:sdtPr>
        <w:sdtEndPr/>
        <w:sdtContent>
          <w:r w:rsidR="00EE65E8" w:rsidRPr="0075107D">
            <w:rPr>
              <w:rFonts w:ascii="Segoe UI Symbol" w:eastAsia="MS Gothic" w:hAnsi="Segoe UI Symbol" w:cs="Segoe UI Symbol"/>
              <w:sz w:val="22"/>
              <w:szCs w:val="22"/>
            </w:rPr>
            <w:t>☐</w:t>
          </w:r>
        </w:sdtContent>
      </w:sdt>
      <w:r w:rsidR="00C120E1" w:rsidRPr="0075107D">
        <w:rPr>
          <w:sz w:val="22"/>
          <w:szCs w:val="22"/>
        </w:rPr>
        <w:t xml:space="preserve"> notice of parcel registration, in Form 9, sent in accordance with this Section, together with proof of service in accordance with Section 30, and any written directions given by the Registrar General under this Section, if </w:t>
      </w:r>
      <w:proofErr w:type="gramStart"/>
      <w:r w:rsidR="00C120E1" w:rsidRPr="0075107D">
        <w:rPr>
          <w:sz w:val="22"/>
          <w:szCs w:val="22"/>
        </w:rPr>
        <w:t>applicable;</w:t>
      </w:r>
      <w:proofErr w:type="gramEnd"/>
      <w:r w:rsidR="00C120E1" w:rsidRPr="0075107D">
        <w:rPr>
          <w:sz w:val="22"/>
          <w:szCs w:val="22"/>
        </w:rPr>
        <w:t xml:space="preserve"> </w:t>
      </w:r>
    </w:p>
    <w:p w14:paraId="3C7B3EFB" w14:textId="0807FE2E" w:rsidR="00C120E1" w:rsidRPr="0075107D" w:rsidRDefault="004B5894">
      <w:pPr>
        <w:rPr>
          <w:sz w:val="22"/>
          <w:szCs w:val="22"/>
        </w:rPr>
      </w:pPr>
      <w:sdt>
        <w:sdtPr>
          <w:rPr>
            <w:sz w:val="22"/>
            <w:szCs w:val="22"/>
          </w:rPr>
          <w:id w:val="-1382004434"/>
          <w14:checkbox>
            <w14:checked w14:val="0"/>
            <w14:checkedState w14:val="2612" w14:font="MS Gothic"/>
            <w14:uncheckedState w14:val="2610" w14:font="MS Gothic"/>
          </w14:checkbox>
        </w:sdtPr>
        <w:sdtEndPr/>
        <w:sdtContent>
          <w:r w:rsidR="00EE65E8" w:rsidRPr="0075107D">
            <w:rPr>
              <w:rFonts w:ascii="Segoe UI Symbol" w:eastAsia="MS Gothic" w:hAnsi="Segoe UI Symbol" w:cs="Segoe UI Symbol"/>
              <w:sz w:val="22"/>
              <w:szCs w:val="22"/>
            </w:rPr>
            <w:t>☐</w:t>
          </w:r>
        </w:sdtContent>
      </w:sdt>
      <w:r w:rsidR="00C120E1" w:rsidRPr="0075107D">
        <w:rPr>
          <w:sz w:val="22"/>
          <w:szCs w:val="22"/>
        </w:rPr>
        <w:t xml:space="preserve"> SRRI that was sent electronically to the submitting lawyer upon submission of the AFR in final </w:t>
      </w:r>
      <w:proofErr w:type="gramStart"/>
      <w:r w:rsidR="00C120E1" w:rsidRPr="0075107D">
        <w:rPr>
          <w:sz w:val="22"/>
          <w:szCs w:val="22"/>
        </w:rPr>
        <w:t>form;</w:t>
      </w:r>
      <w:proofErr w:type="gramEnd"/>
      <w:r w:rsidR="00C120E1" w:rsidRPr="0075107D">
        <w:rPr>
          <w:sz w:val="22"/>
          <w:szCs w:val="22"/>
        </w:rPr>
        <w:t xml:space="preserve"> </w:t>
      </w:r>
    </w:p>
    <w:p w14:paraId="357FA1E3" w14:textId="039E913C" w:rsidR="00C120E1" w:rsidRPr="0075107D" w:rsidRDefault="004B5894">
      <w:pPr>
        <w:rPr>
          <w:sz w:val="22"/>
          <w:szCs w:val="22"/>
        </w:rPr>
      </w:pPr>
      <w:sdt>
        <w:sdtPr>
          <w:rPr>
            <w:sz w:val="22"/>
            <w:szCs w:val="22"/>
          </w:rPr>
          <w:id w:val="461160951"/>
          <w14:checkbox>
            <w14:checked w14:val="0"/>
            <w14:checkedState w14:val="2612" w14:font="MS Gothic"/>
            <w14:uncheckedState w14:val="2610" w14:font="MS Gothic"/>
          </w14:checkbox>
        </w:sdtPr>
        <w:sdtEndPr/>
        <w:sdtContent>
          <w:r w:rsidR="00EE65E8" w:rsidRPr="0075107D">
            <w:rPr>
              <w:rFonts w:ascii="Segoe UI Symbol" w:eastAsia="MS Gothic" w:hAnsi="Segoe UI Symbol" w:cs="Segoe UI Symbol"/>
              <w:sz w:val="22"/>
              <w:szCs w:val="22"/>
            </w:rPr>
            <w:t>☐</w:t>
          </w:r>
        </w:sdtContent>
      </w:sdt>
      <w:r w:rsidR="00C120E1" w:rsidRPr="0075107D">
        <w:rPr>
          <w:sz w:val="22"/>
          <w:szCs w:val="22"/>
        </w:rPr>
        <w:t xml:space="preserve"> official report for the legal description from the parcel description database in Property Online at the time of submission of the AFR in final </w:t>
      </w:r>
      <w:proofErr w:type="gramStart"/>
      <w:r w:rsidR="00C120E1" w:rsidRPr="0075107D">
        <w:rPr>
          <w:sz w:val="22"/>
          <w:szCs w:val="22"/>
        </w:rPr>
        <w:t>form;</w:t>
      </w:r>
      <w:proofErr w:type="gramEnd"/>
      <w:r w:rsidR="00C120E1" w:rsidRPr="0075107D">
        <w:rPr>
          <w:sz w:val="22"/>
          <w:szCs w:val="22"/>
        </w:rPr>
        <w:t xml:space="preserve"> </w:t>
      </w:r>
    </w:p>
    <w:p w14:paraId="49455B18" w14:textId="75364A6A" w:rsidR="00C120E1" w:rsidRPr="0075107D" w:rsidRDefault="004B5894">
      <w:pPr>
        <w:rPr>
          <w:sz w:val="22"/>
          <w:szCs w:val="22"/>
        </w:rPr>
      </w:pPr>
      <w:sdt>
        <w:sdtPr>
          <w:rPr>
            <w:sz w:val="22"/>
            <w:szCs w:val="22"/>
          </w:rPr>
          <w:id w:val="-1716110116"/>
          <w14:checkbox>
            <w14:checked w14:val="0"/>
            <w14:checkedState w14:val="2612" w14:font="MS Gothic"/>
            <w14:uncheckedState w14:val="2610" w14:font="MS Gothic"/>
          </w14:checkbox>
        </w:sdtPr>
        <w:sdtEndPr/>
        <w:sdtContent>
          <w:r w:rsidR="00EE65E8" w:rsidRPr="0075107D">
            <w:rPr>
              <w:rFonts w:ascii="Segoe UI Symbol" w:eastAsia="MS Gothic" w:hAnsi="Segoe UI Symbol" w:cs="Segoe UI Symbol"/>
              <w:sz w:val="22"/>
              <w:szCs w:val="22"/>
            </w:rPr>
            <w:t>☐</w:t>
          </w:r>
        </w:sdtContent>
      </w:sdt>
      <w:r w:rsidR="00C120E1" w:rsidRPr="0075107D">
        <w:rPr>
          <w:sz w:val="22"/>
          <w:szCs w:val="22"/>
        </w:rPr>
        <w:t xml:space="preserve"> abstract of title upon which the submitting lawyer’s certified opinion of title is based showing the chain of ownership of the parcel; and </w:t>
      </w:r>
    </w:p>
    <w:p w14:paraId="03C78450" w14:textId="0685A540" w:rsidR="00C120E1" w:rsidRPr="0075107D" w:rsidRDefault="004B5894">
      <w:pPr>
        <w:rPr>
          <w:i/>
          <w:iCs/>
          <w:sz w:val="22"/>
          <w:szCs w:val="22"/>
        </w:rPr>
      </w:pPr>
      <w:sdt>
        <w:sdtPr>
          <w:rPr>
            <w:sz w:val="22"/>
            <w:szCs w:val="22"/>
          </w:rPr>
          <w:id w:val="-2034873724"/>
          <w14:checkbox>
            <w14:checked w14:val="0"/>
            <w14:checkedState w14:val="2612" w14:font="MS Gothic"/>
            <w14:uncheckedState w14:val="2610" w14:font="MS Gothic"/>
          </w14:checkbox>
        </w:sdtPr>
        <w:sdtEndPr/>
        <w:sdtContent>
          <w:r w:rsidR="00EE65E8" w:rsidRPr="0075107D">
            <w:rPr>
              <w:rFonts w:ascii="Segoe UI Symbol" w:eastAsia="MS Gothic" w:hAnsi="Segoe UI Symbol" w:cs="Segoe UI Symbol"/>
              <w:sz w:val="22"/>
              <w:szCs w:val="22"/>
            </w:rPr>
            <w:t>☐</w:t>
          </w:r>
        </w:sdtContent>
      </w:sdt>
      <w:r w:rsidR="00C120E1" w:rsidRPr="0075107D">
        <w:rPr>
          <w:sz w:val="22"/>
          <w:szCs w:val="22"/>
        </w:rPr>
        <w:t xml:space="preserve"> evidence of compliance with the </w:t>
      </w:r>
      <w:r w:rsidR="00C120E1" w:rsidRPr="0075107D">
        <w:rPr>
          <w:i/>
          <w:iCs/>
          <w:sz w:val="22"/>
          <w:szCs w:val="22"/>
        </w:rPr>
        <w:t>Municipal Government Act</w:t>
      </w:r>
      <w:r w:rsidR="0075107D">
        <w:rPr>
          <w:i/>
          <w:iCs/>
          <w:sz w:val="22"/>
          <w:szCs w:val="22"/>
        </w:rPr>
        <w:t xml:space="preserve">.                                            </w:t>
      </w:r>
    </w:p>
    <w:p w14:paraId="510F0E61" w14:textId="775E78AA" w:rsidR="00B71753" w:rsidRPr="0075107D" w:rsidRDefault="00B71753" w:rsidP="00B71753">
      <w:pPr>
        <w:rPr>
          <w:sz w:val="22"/>
          <w:szCs w:val="22"/>
        </w:rPr>
      </w:pPr>
      <w:r w:rsidRPr="0075107D">
        <w:rPr>
          <w:sz w:val="22"/>
          <w:szCs w:val="22"/>
        </w:rPr>
        <w:t>A</w:t>
      </w:r>
      <w:r w:rsidR="00EE65E8" w:rsidRPr="0075107D">
        <w:rPr>
          <w:sz w:val="22"/>
          <w:szCs w:val="22"/>
        </w:rPr>
        <w:t xml:space="preserve">nything else on which </w:t>
      </w:r>
      <w:r w:rsidR="0075107D">
        <w:rPr>
          <w:sz w:val="22"/>
          <w:szCs w:val="22"/>
        </w:rPr>
        <w:t xml:space="preserve">a </w:t>
      </w:r>
      <w:r w:rsidR="00EE65E8" w:rsidRPr="0075107D">
        <w:rPr>
          <w:sz w:val="22"/>
          <w:szCs w:val="22"/>
        </w:rPr>
        <w:t>lawyer relied in support of exercising professional judgment in rendering an opinion of title or certificate of legal effect. It includes</w:t>
      </w:r>
      <w:r w:rsidRPr="0075107D">
        <w:rPr>
          <w:sz w:val="22"/>
          <w:szCs w:val="22"/>
        </w:rPr>
        <w:t>, whether prepared by the lawyer or others:</w:t>
      </w:r>
    </w:p>
    <w:p w14:paraId="6EC71F0D" w14:textId="77777777" w:rsidR="00B71753" w:rsidRPr="0075107D" w:rsidRDefault="004B5894" w:rsidP="00B71753">
      <w:pPr>
        <w:ind w:firstLine="720"/>
        <w:rPr>
          <w:sz w:val="22"/>
          <w:szCs w:val="22"/>
        </w:rPr>
      </w:pPr>
      <w:sdt>
        <w:sdtPr>
          <w:rPr>
            <w:sz w:val="22"/>
            <w:szCs w:val="22"/>
          </w:rPr>
          <w:id w:val="-1762606139"/>
          <w14:checkbox>
            <w14:checked w14:val="0"/>
            <w14:checkedState w14:val="2612" w14:font="MS Gothic"/>
            <w14:uncheckedState w14:val="2610" w14:font="MS Gothic"/>
          </w14:checkbox>
        </w:sdtPr>
        <w:sdtEndPr/>
        <w:sdtContent>
          <w:r w:rsidR="00B71753" w:rsidRPr="0075107D">
            <w:rPr>
              <w:rFonts w:ascii="Segoe UI Symbol" w:eastAsia="MS Gothic" w:hAnsi="Segoe UI Symbol" w:cs="Segoe UI Symbol"/>
              <w:sz w:val="22"/>
              <w:szCs w:val="22"/>
            </w:rPr>
            <w:t>☐</w:t>
          </w:r>
        </w:sdtContent>
      </w:sdt>
      <w:r w:rsidR="00EE65E8" w:rsidRPr="0075107D">
        <w:rPr>
          <w:sz w:val="22"/>
          <w:szCs w:val="22"/>
        </w:rPr>
        <w:t xml:space="preserve">searches, </w:t>
      </w:r>
    </w:p>
    <w:p w14:paraId="2A8F10F1" w14:textId="77777777" w:rsidR="00B71753" w:rsidRPr="0075107D" w:rsidRDefault="004B5894" w:rsidP="00B71753">
      <w:pPr>
        <w:ind w:firstLine="720"/>
        <w:rPr>
          <w:sz w:val="22"/>
          <w:szCs w:val="22"/>
        </w:rPr>
      </w:pPr>
      <w:sdt>
        <w:sdtPr>
          <w:rPr>
            <w:sz w:val="22"/>
            <w:szCs w:val="22"/>
          </w:rPr>
          <w:id w:val="-73046939"/>
          <w14:checkbox>
            <w14:checked w14:val="0"/>
            <w14:checkedState w14:val="2612" w14:font="MS Gothic"/>
            <w14:uncheckedState w14:val="2610" w14:font="MS Gothic"/>
          </w14:checkbox>
        </w:sdtPr>
        <w:sdtEndPr/>
        <w:sdtContent>
          <w:r w:rsidR="00B71753" w:rsidRPr="0075107D">
            <w:rPr>
              <w:rFonts w:ascii="Segoe UI Symbol" w:eastAsia="MS Gothic" w:hAnsi="Segoe UI Symbol" w:cs="Segoe UI Symbol"/>
              <w:sz w:val="22"/>
              <w:szCs w:val="22"/>
            </w:rPr>
            <w:t>☐</w:t>
          </w:r>
        </w:sdtContent>
      </w:sdt>
      <w:r w:rsidR="00EE65E8" w:rsidRPr="0075107D">
        <w:rPr>
          <w:sz w:val="22"/>
          <w:szCs w:val="22"/>
        </w:rPr>
        <w:t xml:space="preserve">documents, </w:t>
      </w:r>
    </w:p>
    <w:p w14:paraId="415C2BBB" w14:textId="77777777" w:rsidR="00B71753" w:rsidRPr="0075107D" w:rsidRDefault="004B5894" w:rsidP="00B71753">
      <w:pPr>
        <w:ind w:firstLine="720"/>
        <w:rPr>
          <w:sz w:val="22"/>
          <w:szCs w:val="22"/>
        </w:rPr>
      </w:pPr>
      <w:sdt>
        <w:sdtPr>
          <w:rPr>
            <w:sz w:val="22"/>
            <w:szCs w:val="22"/>
          </w:rPr>
          <w:id w:val="-257523641"/>
          <w14:checkbox>
            <w14:checked w14:val="0"/>
            <w14:checkedState w14:val="2612" w14:font="MS Gothic"/>
            <w14:uncheckedState w14:val="2610" w14:font="MS Gothic"/>
          </w14:checkbox>
        </w:sdtPr>
        <w:sdtEndPr/>
        <w:sdtContent>
          <w:r w:rsidR="00B71753" w:rsidRPr="0075107D">
            <w:rPr>
              <w:rFonts w:ascii="Segoe UI Symbol" w:eastAsia="MS Gothic" w:hAnsi="Segoe UI Symbol" w:cs="Segoe UI Symbol"/>
              <w:sz w:val="22"/>
              <w:szCs w:val="22"/>
            </w:rPr>
            <w:t>☐</w:t>
          </w:r>
        </w:sdtContent>
      </w:sdt>
      <w:r w:rsidR="00EE65E8" w:rsidRPr="0075107D">
        <w:rPr>
          <w:sz w:val="22"/>
          <w:szCs w:val="22"/>
        </w:rPr>
        <w:t xml:space="preserve">notes, </w:t>
      </w:r>
    </w:p>
    <w:p w14:paraId="61258A03" w14:textId="598EA58E" w:rsidR="00B71753" w:rsidRPr="0075107D" w:rsidRDefault="004B5894" w:rsidP="00B71753">
      <w:pPr>
        <w:ind w:firstLine="720"/>
        <w:rPr>
          <w:sz w:val="22"/>
          <w:szCs w:val="22"/>
        </w:rPr>
      </w:pPr>
      <w:sdt>
        <w:sdtPr>
          <w:rPr>
            <w:sz w:val="22"/>
            <w:szCs w:val="22"/>
          </w:rPr>
          <w:id w:val="1856001962"/>
          <w14:checkbox>
            <w14:checked w14:val="0"/>
            <w14:checkedState w14:val="2612" w14:font="MS Gothic"/>
            <w14:uncheckedState w14:val="2610" w14:font="MS Gothic"/>
          </w14:checkbox>
        </w:sdtPr>
        <w:sdtEndPr/>
        <w:sdtContent>
          <w:r w:rsidR="00B71753" w:rsidRPr="0075107D">
            <w:rPr>
              <w:rFonts w:ascii="Segoe UI Symbol" w:eastAsia="MS Gothic" w:hAnsi="Segoe UI Symbol" w:cs="Segoe UI Symbol"/>
              <w:sz w:val="22"/>
              <w:szCs w:val="22"/>
            </w:rPr>
            <w:t>☐</w:t>
          </w:r>
        </w:sdtContent>
      </w:sdt>
      <w:r w:rsidR="00EE65E8" w:rsidRPr="0075107D">
        <w:rPr>
          <w:sz w:val="22"/>
          <w:szCs w:val="22"/>
        </w:rPr>
        <w:t>survey fabric</w:t>
      </w:r>
      <w:r w:rsidR="00B71753" w:rsidRPr="0075107D">
        <w:rPr>
          <w:sz w:val="22"/>
          <w:szCs w:val="22"/>
        </w:rPr>
        <w:t>, or</w:t>
      </w:r>
    </w:p>
    <w:p w14:paraId="0D0D5D13" w14:textId="0D155A80" w:rsidR="00EE65E8" w:rsidRPr="0075107D" w:rsidRDefault="004B5894" w:rsidP="00B71753">
      <w:pPr>
        <w:ind w:firstLine="720"/>
        <w:rPr>
          <w:sz w:val="22"/>
          <w:szCs w:val="22"/>
        </w:rPr>
      </w:pPr>
      <w:sdt>
        <w:sdtPr>
          <w:rPr>
            <w:sz w:val="22"/>
            <w:szCs w:val="22"/>
          </w:rPr>
          <w:id w:val="302057894"/>
          <w14:checkbox>
            <w14:checked w14:val="0"/>
            <w14:checkedState w14:val="2612" w14:font="MS Gothic"/>
            <w14:uncheckedState w14:val="2610" w14:font="MS Gothic"/>
          </w14:checkbox>
        </w:sdtPr>
        <w:sdtEndPr/>
        <w:sdtContent>
          <w:r w:rsidR="00B71753" w:rsidRPr="0075107D">
            <w:rPr>
              <w:rFonts w:ascii="Segoe UI Symbol" w:eastAsia="MS Gothic" w:hAnsi="Segoe UI Symbol" w:cs="Segoe UI Symbol"/>
              <w:sz w:val="22"/>
              <w:szCs w:val="22"/>
            </w:rPr>
            <w:t>☐</w:t>
          </w:r>
        </w:sdtContent>
      </w:sdt>
      <w:r w:rsidR="00EE65E8" w:rsidRPr="0075107D">
        <w:rPr>
          <w:sz w:val="22"/>
          <w:szCs w:val="22"/>
        </w:rPr>
        <w:t>other title information</w:t>
      </w:r>
      <w:r w:rsidR="00B71753" w:rsidRPr="0075107D">
        <w:rPr>
          <w:sz w:val="22"/>
          <w:szCs w:val="22"/>
        </w:rPr>
        <w:t>.</w:t>
      </w:r>
    </w:p>
    <w:sectPr w:rsidR="00EE65E8" w:rsidRPr="0075107D" w:rsidSect="0075107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FE2A" w14:textId="77777777" w:rsidR="004B5894" w:rsidRDefault="004B5894" w:rsidP="0075107D">
      <w:pPr>
        <w:spacing w:after="0" w:line="240" w:lineRule="auto"/>
      </w:pPr>
      <w:r>
        <w:separator/>
      </w:r>
    </w:p>
  </w:endnote>
  <w:endnote w:type="continuationSeparator" w:id="0">
    <w:p w14:paraId="2E6314A7" w14:textId="77777777" w:rsidR="004B5894" w:rsidRDefault="004B5894" w:rsidP="0075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44B2" w14:textId="77777777" w:rsidR="004B5894" w:rsidRDefault="004B5894" w:rsidP="0075107D">
      <w:pPr>
        <w:spacing w:after="0" w:line="240" w:lineRule="auto"/>
      </w:pPr>
      <w:r>
        <w:separator/>
      </w:r>
    </w:p>
  </w:footnote>
  <w:footnote w:type="continuationSeparator" w:id="0">
    <w:p w14:paraId="726B01B3" w14:textId="77777777" w:rsidR="004B5894" w:rsidRDefault="004B5894" w:rsidP="00751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4822" w14:textId="091D0262" w:rsidR="0075107D" w:rsidRDefault="0075107D" w:rsidP="0075107D">
    <w:pPr>
      <w:pStyle w:val="Header"/>
    </w:pPr>
    <w:r>
      <w:rPr>
        <w:noProof/>
      </w:rPr>
      <w:drawing>
        <wp:inline distT="0" distB="0" distL="0" distR="0" wp14:anchorId="38F128EB" wp14:editId="34224B9E">
          <wp:extent cx="2981959" cy="518160"/>
          <wp:effectExtent l="0" t="0" r="9525" b="0"/>
          <wp:docPr id="2" name="Picture 2"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1128" cy="519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454E4"/>
    <w:multiLevelType w:val="hybridMultilevel"/>
    <w:tmpl w:val="BD54E504"/>
    <w:lvl w:ilvl="0" w:tplc="10090003">
      <w:start w:val="1"/>
      <w:numFmt w:val="bullet"/>
      <w:lvlText w:val="o"/>
      <w:lvlJc w:val="left"/>
      <w:pPr>
        <w:ind w:left="792" w:hanging="360"/>
      </w:pPr>
      <w:rPr>
        <w:rFonts w:ascii="Courier New" w:hAnsi="Courier New" w:cs="Courier New"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E1"/>
    <w:rsid w:val="004B5894"/>
    <w:rsid w:val="00564388"/>
    <w:rsid w:val="0075107D"/>
    <w:rsid w:val="00B71753"/>
    <w:rsid w:val="00BE3CD8"/>
    <w:rsid w:val="00C120E1"/>
    <w:rsid w:val="00D33F90"/>
    <w:rsid w:val="00E04ED3"/>
    <w:rsid w:val="00EE6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3DA0"/>
  <w15:chartTrackingRefBased/>
  <w15:docId w15:val="{077236FC-C8D3-402A-907C-1F33EA75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F90"/>
    <w:pPr>
      <w:ind w:left="720"/>
      <w:contextualSpacing/>
    </w:pPr>
  </w:style>
  <w:style w:type="paragraph" w:styleId="Header">
    <w:name w:val="header"/>
    <w:basedOn w:val="Normal"/>
    <w:link w:val="HeaderChar"/>
    <w:uiPriority w:val="99"/>
    <w:unhideWhenUsed/>
    <w:rsid w:val="00751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7D"/>
  </w:style>
  <w:style w:type="paragraph" w:styleId="Footer">
    <w:name w:val="footer"/>
    <w:basedOn w:val="Normal"/>
    <w:link w:val="FooterChar"/>
    <w:uiPriority w:val="99"/>
    <w:unhideWhenUsed/>
    <w:rsid w:val="00751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McCleave</dc:creator>
  <cp:keywords/>
  <dc:description/>
  <cp:lastModifiedBy>Collette Deschenes</cp:lastModifiedBy>
  <cp:revision>2</cp:revision>
  <dcterms:created xsi:type="dcterms:W3CDTF">2021-07-13T12:52:00Z</dcterms:created>
  <dcterms:modified xsi:type="dcterms:W3CDTF">2021-07-13T12:52:00Z</dcterms:modified>
</cp:coreProperties>
</file>